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BF" w:rsidRDefault="00855F22" w:rsidP="00645699">
      <w:pPr>
        <w:ind w:left="3960" w:firstLine="1440"/>
        <w:jc w:val="right"/>
        <w:rPr>
          <w:rFonts w:ascii="Constantia" w:hAnsi="Constantia" w:cs="Palatino Linotype"/>
          <w:b/>
          <w:bCs/>
          <w:spacing w:val="4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13.5pt;width:114.35pt;height:114.35pt;z-index:251659264;mso-position-horizontal-relative:margin;mso-position-vertical-relative:margin">
            <v:imagedata r:id="rId9" o:title="PŘÍLEŽITOSTNÉ LOGO 25 LET KOLECKO"/>
            <w10:wrap type="square" anchorx="margin" anchory="margin"/>
          </v:shape>
        </w:pict>
      </w:r>
    </w:p>
    <w:p w:rsidR="00645699" w:rsidRPr="00473A90" w:rsidRDefault="00645699" w:rsidP="00645699">
      <w:pPr>
        <w:ind w:left="3960" w:firstLine="1440"/>
        <w:jc w:val="right"/>
        <w:rPr>
          <w:rFonts w:ascii="Constantia" w:hAnsi="Constantia" w:cs="Palatino Linotype"/>
          <w:b/>
          <w:bCs/>
          <w:spacing w:val="40"/>
          <w:sz w:val="22"/>
          <w:szCs w:val="22"/>
        </w:rPr>
      </w:pPr>
      <w:r w:rsidRPr="00473A90">
        <w:rPr>
          <w:rFonts w:ascii="Constantia" w:hAnsi="Constantia" w:cs="Palatino Linotype"/>
          <w:b/>
          <w:bCs/>
          <w:spacing w:val="40"/>
          <w:sz w:val="22"/>
          <w:szCs w:val="22"/>
        </w:rPr>
        <w:t>Na počátku, o.</w:t>
      </w:r>
      <w:r w:rsidR="00B063F3">
        <w:rPr>
          <w:rFonts w:ascii="Constantia" w:hAnsi="Constantia" w:cs="Palatino Linotype"/>
          <w:b/>
          <w:bCs/>
          <w:spacing w:val="40"/>
          <w:sz w:val="22"/>
          <w:szCs w:val="22"/>
        </w:rPr>
        <w:t xml:space="preserve"> p.</w:t>
      </w:r>
      <w:r w:rsidRPr="00473A90">
        <w:rPr>
          <w:rFonts w:ascii="Constantia" w:hAnsi="Constantia" w:cs="Palatino Linotype"/>
          <w:b/>
          <w:bCs/>
          <w:spacing w:val="40"/>
          <w:sz w:val="22"/>
          <w:szCs w:val="22"/>
        </w:rPr>
        <w:t xml:space="preserve"> s.</w:t>
      </w:r>
    </w:p>
    <w:p w:rsidR="00B063F3" w:rsidRDefault="00645699" w:rsidP="00645699">
      <w:pPr>
        <w:ind w:left="4932" w:firstLine="468"/>
        <w:jc w:val="right"/>
        <w:rPr>
          <w:rFonts w:ascii="Constantia" w:hAnsi="Constantia" w:cs="Palatino Linotype"/>
          <w:sz w:val="22"/>
          <w:szCs w:val="22"/>
        </w:rPr>
      </w:pPr>
      <w:r w:rsidRPr="00473A90">
        <w:rPr>
          <w:rFonts w:ascii="Constantia" w:hAnsi="Constantia" w:cs="Palatino Linotype"/>
          <w:sz w:val="22"/>
          <w:szCs w:val="22"/>
        </w:rPr>
        <w:t>Soběšická 560/60</w:t>
      </w:r>
      <w:r w:rsidR="00B063F3">
        <w:rPr>
          <w:rFonts w:ascii="Constantia" w:hAnsi="Constantia" w:cs="Palatino Linotype"/>
          <w:sz w:val="22"/>
          <w:szCs w:val="22"/>
        </w:rPr>
        <w:t xml:space="preserve"> </w:t>
      </w:r>
    </w:p>
    <w:p w:rsidR="00645699" w:rsidRPr="00473A90" w:rsidRDefault="00B063F3" w:rsidP="00645699">
      <w:pPr>
        <w:ind w:left="4932" w:firstLine="468"/>
        <w:jc w:val="right"/>
        <w:rPr>
          <w:rFonts w:ascii="Constantia" w:hAnsi="Constantia" w:cs="Palatino Linotype"/>
          <w:sz w:val="22"/>
          <w:szCs w:val="22"/>
        </w:rPr>
      </w:pPr>
      <w:r>
        <w:rPr>
          <w:rFonts w:ascii="Constantia" w:hAnsi="Constantia" w:cs="Palatino Linotype"/>
          <w:sz w:val="22"/>
          <w:szCs w:val="22"/>
        </w:rPr>
        <w:t>Husovice,</w:t>
      </w:r>
      <w:r w:rsidR="00645699">
        <w:rPr>
          <w:rFonts w:ascii="Constantia" w:hAnsi="Constantia" w:cs="Palatino Linotype"/>
          <w:sz w:val="22"/>
          <w:szCs w:val="22"/>
        </w:rPr>
        <w:t xml:space="preserve"> </w:t>
      </w:r>
      <w:r w:rsidR="00645699" w:rsidRPr="00473A90">
        <w:rPr>
          <w:rFonts w:ascii="Constantia" w:hAnsi="Constantia" w:cs="Palatino Linotype"/>
          <w:sz w:val="22"/>
          <w:szCs w:val="22"/>
        </w:rPr>
        <w:t>614 00 Brno</w:t>
      </w:r>
    </w:p>
    <w:p w:rsidR="00394B41" w:rsidRPr="00394B41" w:rsidRDefault="00645699" w:rsidP="00394B41">
      <w:pPr>
        <w:jc w:val="right"/>
      </w:pPr>
      <w:r w:rsidRPr="00394B41">
        <w:rPr>
          <w:rFonts w:ascii="Constantia" w:hAnsi="Constantia" w:cs="Palatino Linotype"/>
          <w:sz w:val="20"/>
          <w:szCs w:val="20"/>
        </w:rPr>
        <w:t xml:space="preserve">t: </w:t>
      </w:r>
      <w:r w:rsidR="00394B41" w:rsidRPr="00394B41">
        <w:rPr>
          <w:rFonts w:ascii="Constantia" w:hAnsi="Constantia" w:cs="Palatino Linotype"/>
          <w:sz w:val="20"/>
          <w:szCs w:val="20"/>
        </w:rPr>
        <w:t>548 221 406, 702 104 441</w:t>
      </w:r>
    </w:p>
    <w:p w:rsidR="00645699" w:rsidRPr="00645699" w:rsidRDefault="00645699" w:rsidP="00645699">
      <w:pPr>
        <w:ind w:left="3960" w:firstLine="1440"/>
        <w:jc w:val="right"/>
        <w:rPr>
          <w:rFonts w:ascii="Constantia" w:hAnsi="Constantia" w:cs="Palatino Linotype"/>
          <w:sz w:val="20"/>
          <w:szCs w:val="20"/>
        </w:rPr>
      </w:pPr>
      <w:r w:rsidRPr="00645699">
        <w:rPr>
          <w:rFonts w:ascii="Constantia" w:hAnsi="Constantia" w:cs="Palatino Linotype"/>
          <w:sz w:val="20"/>
          <w:szCs w:val="20"/>
        </w:rPr>
        <w:t xml:space="preserve">e: </w:t>
      </w:r>
      <w:hyperlink r:id="rId10" w:history="1">
        <w:r w:rsidRPr="00645699">
          <w:rPr>
            <w:rStyle w:val="Hypertextovodkaz"/>
            <w:rFonts w:ascii="Constantia" w:hAnsi="Constantia" w:cs="Palatino Linotype"/>
            <w:color w:val="auto"/>
            <w:sz w:val="20"/>
            <w:szCs w:val="20"/>
            <w:u w:val="none"/>
          </w:rPr>
          <w:t>info@napocatku.cz</w:t>
        </w:r>
      </w:hyperlink>
    </w:p>
    <w:p w:rsidR="00645699" w:rsidRDefault="00645699" w:rsidP="00645699">
      <w:pPr>
        <w:ind w:left="3960" w:firstLine="1440"/>
        <w:jc w:val="right"/>
        <w:rPr>
          <w:rFonts w:ascii="Constantia" w:hAnsi="Constantia" w:cs="Palatino Linotype"/>
          <w:sz w:val="22"/>
          <w:szCs w:val="22"/>
        </w:rPr>
      </w:pPr>
      <w:r w:rsidRPr="00645699">
        <w:rPr>
          <w:rFonts w:ascii="Constantia" w:hAnsi="Constantia" w:cs="Palatino Linotype"/>
          <w:sz w:val="20"/>
          <w:szCs w:val="20"/>
        </w:rPr>
        <w:t xml:space="preserve">w: </w:t>
      </w:r>
      <w:hyperlink r:id="rId11" w:history="1">
        <w:r w:rsidRPr="00645699">
          <w:rPr>
            <w:rStyle w:val="Hypertextovodkaz"/>
            <w:rFonts w:ascii="Constantia" w:hAnsi="Constantia" w:cs="Palatino Linotype"/>
            <w:color w:val="auto"/>
            <w:sz w:val="20"/>
            <w:szCs w:val="20"/>
            <w:u w:val="none"/>
          </w:rPr>
          <w:t>www.napocatku.cz</w:t>
        </w:r>
      </w:hyperlink>
    </w:p>
    <w:p w:rsidR="005758CE" w:rsidRPr="009D51B0" w:rsidRDefault="00C40059" w:rsidP="0034690E">
      <w:pPr>
        <w:pStyle w:val="Nadpis1"/>
        <w:spacing w:before="120"/>
      </w:pPr>
      <w:r>
        <w:t>Tři brněnské organizace se mohou stát Nezisko</w:t>
      </w:r>
      <w:r>
        <w:t>v</w:t>
      </w:r>
      <w:r>
        <w:t>kou roku</w:t>
      </w:r>
    </w:p>
    <w:p w:rsidR="005758CE" w:rsidRPr="009D51B0" w:rsidRDefault="005758CE" w:rsidP="005758CE">
      <w:pP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</w:p>
    <w:p w:rsidR="00471D39" w:rsidRPr="009D51B0" w:rsidRDefault="00150245" w:rsidP="005758CE">
      <w:pPr>
        <w:jc w:val="both"/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</w:pPr>
      <w:r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Brno </w:t>
      </w:r>
      <w:r w:rsidR="00C40059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5</w:t>
      </w:r>
      <w:r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. </w:t>
      </w:r>
      <w:r w:rsidR="00C40059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listopadu</w:t>
      </w:r>
      <w:r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 201</w:t>
      </w:r>
      <w:r w:rsidR="007E60F3" w:rsidRPr="009D51B0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9</w:t>
      </w:r>
      <w:r w:rsidR="00B424C2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 |</w:t>
      </w:r>
      <w:r w:rsidR="00F325CF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 </w:t>
      </w:r>
      <w:r w:rsidR="00C40059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Prestižní soutěž Neziskovka roku oceňuje nejlépe řízené organ</w:t>
      </w:r>
      <w:r w:rsidR="00C40059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i</w:t>
      </w:r>
      <w:r w:rsidR="00C40059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zace a zároveň jim dává zpětnou vazbu na jejich fungování. Letos se o titul ucházejí t</w:t>
      </w:r>
      <w:r w:rsidR="00C40059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a</w:t>
      </w:r>
      <w:r w:rsidR="00C40059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>ké tři organizace se sídlem v Brně.</w:t>
      </w:r>
      <w:r w:rsidR="00B9329F">
        <w:rPr>
          <w:rFonts w:ascii="Constantia" w:hAnsi="Constantia" w:cs="Arial"/>
          <w:b/>
          <w:bCs/>
          <w:i/>
          <w:iCs/>
          <w:color w:val="1D1B11" w:themeColor="background2" w:themeShade="1A"/>
          <w:sz w:val="22"/>
          <w:szCs w:val="22"/>
        </w:rPr>
        <w:t xml:space="preserve"> V jedné z kategorií o vítězi rozhodne veřejnost.</w:t>
      </w:r>
    </w:p>
    <w:p w:rsidR="00973ABF" w:rsidRPr="009D51B0" w:rsidRDefault="00973ABF" w:rsidP="005758CE">
      <w:pPr>
        <w:jc w:val="both"/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</w:p>
    <w:p w:rsidR="00B9329F" w:rsidRDefault="00B9329F" w:rsidP="005758CE">
      <w:pPr>
        <w:jc w:val="both"/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Soutěž po sedmé 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pořádá 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Nadace rozvoje</w:t>
      </w:r>
      <w:r w:rsidR="0060113C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občanské společnosti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. Ta se společně s odborníky z Karlovy univerzity podílela na vzniku metodiky „Zdravé organizační řízení“, na základě které jsou přihlášené organizace hodnoceny.</w:t>
      </w:r>
      <w:r w:rsidR="003A58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</w:t>
      </w:r>
      <w:r w:rsidR="003A58B1" w:rsidRPr="003A58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Na hodnocení  spolupracují nezávislí odborníci z řad </w:t>
      </w:r>
      <w:r w:rsidR="003A58B1" w:rsidRPr="00855F22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komerčního i neziskového sektoru, státní správy, experti a významné osobnosti,</w:t>
      </w:r>
      <w:r w:rsidR="003A58B1" w:rsidRPr="003A58B1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které se aktivně podílejí na rozvoji občanské společnosti v ČR.</w:t>
      </w:r>
    </w:p>
    <w:p w:rsidR="00360F5F" w:rsidRDefault="00360F5F" w:rsidP="00B9329F">
      <w:pPr>
        <w:ind w:firstLine="708"/>
        <w:jc w:val="both"/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Vedle</w:t>
      </w:r>
      <w:r w:rsidR="00B9329F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cen udělovaných odbornou komisí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stojí </w:t>
      </w:r>
      <w:r w:rsidRPr="00855F22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Cena veřejnosti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. V této kategorii m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o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hou lidé pro svého favorita hlasovat </w:t>
      </w:r>
      <w:r w:rsidRPr="00855F22">
        <w:rPr>
          <w:rFonts w:ascii="Constantia" w:hAnsi="Constantia" w:cs="Arial"/>
          <w:b/>
          <w:bCs/>
          <w:iCs/>
          <w:color w:val="1D1B11" w:themeColor="background2" w:themeShade="1A"/>
          <w:sz w:val="22"/>
          <w:szCs w:val="22"/>
        </w:rPr>
        <w:t>do 22. prosince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na adrese </w:t>
      </w:r>
      <w:r w:rsidRPr="00360F5F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www.neziskovka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roku.cz</w:t>
      </w:r>
    </w:p>
    <w:p w:rsidR="0060113C" w:rsidRPr="009D51B0" w:rsidRDefault="00360F5F" w:rsidP="00360F5F">
      <w:pPr>
        <w:ind w:firstLine="708"/>
        <w:jc w:val="both"/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Mezi třinácti semifinalisty jsou také</w:t>
      </w:r>
      <w:r w:rsidR="0060113C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tři organizace se sídlem v Brně. V kategorii Střední neziskovka soutěží organizace Na počátku, která pomáhá těhotným ženám a maminkám s dětmi v tísni, a Unie neslyšících Brno. V kategorii Velká neziskovka pak 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o titul usiluje</w:t>
      </w:r>
      <w:r w:rsidR="0060113C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</w:t>
      </w:r>
      <w:proofErr w:type="spellStart"/>
      <w:r w:rsidR="0060113C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Par</w:t>
      </w:r>
      <w:r w:rsidR="0060113C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a</w:t>
      </w:r>
      <w:r w:rsidR="0060113C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Centrum</w:t>
      </w:r>
      <w:proofErr w:type="spellEnd"/>
      <w:r w:rsidR="0060113C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Fénix, které pomáhá l</w:t>
      </w:r>
      <w:r w:rsidR="0060113C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i</w:t>
      </w:r>
      <w:r w:rsidR="0060113C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>dem po poranění páteře a míchy.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„</w:t>
      </w:r>
      <w:r w:rsidRPr="00360F5F">
        <w:rPr>
          <w:rFonts w:ascii="Constantia" w:hAnsi="Constantia" w:cs="Arial"/>
          <w:bCs/>
          <w:i/>
          <w:iCs/>
          <w:color w:val="1D1B11" w:themeColor="background2" w:themeShade="1A"/>
          <w:sz w:val="22"/>
          <w:szCs w:val="22"/>
        </w:rPr>
        <w:t>Už samotné zařazení mezi semifinalisty je pro nás velký úspěch. Soutěž je náročná, ale je pro nás přínosem. Dává nám mo</w:t>
      </w:r>
      <w:r w:rsidRPr="00360F5F">
        <w:rPr>
          <w:rFonts w:ascii="Constantia" w:hAnsi="Constantia" w:cs="Arial"/>
          <w:bCs/>
          <w:i/>
          <w:iCs/>
          <w:color w:val="1D1B11" w:themeColor="background2" w:themeShade="1A"/>
          <w:sz w:val="22"/>
          <w:szCs w:val="22"/>
        </w:rPr>
        <w:t>ž</w:t>
      </w:r>
      <w:r w:rsidRPr="00360F5F">
        <w:rPr>
          <w:rFonts w:ascii="Constantia" w:hAnsi="Constantia" w:cs="Arial"/>
          <w:bCs/>
          <w:i/>
          <w:iCs/>
          <w:color w:val="1D1B11" w:themeColor="background2" w:themeShade="1A"/>
          <w:sz w:val="22"/>
          <w:szCs w:val="22"/>
        </w:rPr>
        <w:t>nost jakoby poodstoupit a podívat se na naše fungování s nadhledem. Cenné jsou pro nás rady odborníků, se kterými se během hodnocení setkáváme,“</w:t>
      </w:r>
      <w:r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 xml:space="preserve"> popsala ředitelka organizace Na počátku Eva Vondráková.</w:t>
      </w:r>
    </w:p>
    <w:p w:rsidR="007323D2" w:rsidRDefault="00973ABF" w:rsidP="00B9329F">
      <w:pPr>
        <w:jc w:val="both"/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</w:pPr>
      <w:r w:rsidRPr="009D51B0">
        <w:rPr>
          <w:rFonts w:ascii="Constantia" w:hAnsi="Constantia" w:cs="Arial"/>
          <w:bCs/>
          <w:iCs/>
          <w:color w:val="1D1B11" w:themeColor="background2" w:themeShade="1A"/>
          <w:sz w:val="22"/>
          <w:szCs w:val="22"/>
        </w:rPr>
        <w:tab/>
      </w:r>
    </w:p>
    <w:p w:rsidR="007323D2" w:rsidRDefault="007323D2" w:rsidP="005758CE">
      <w:pPr>
        <w:jc w:val="both"/>
        <w:rPr>
          <w:b/>
        </w:rPr>
      </w:pPr>
    </w:p>
    <w:p w:rsidR="005758CE" w:rsidRPr="00471D39" w:rsidRDefault="005758CE" w:rsidP="005758CE">
      <w:pPr>
        <w:jc w:val="both"/>
        <w:rPr>
          <w:b/>
        </w:rPr>
      </w:pPr>
      <w:r w:rsidRPr="00471D39">
        <w:rPr>
          <w:b/>
        </w:rPr>
        <w:t>Kontakty:</w:t>
      </w:r>
      <w:bookmarkStart w:id="0" w:name="_GoBack"/>
      <w:bookmarkEnd w:id="0"/>
    </w:p>
    <w:p w:rsidR="00D6008F" w:rsidRDefault="005758CE" w:rsidP="005758CE">
      <w:pPr>
        <w:jc w:val="both"/>
      </w:pPr>
      <w:r>
        <w:t xml:space="preserve">Mariana Ambrožová, </w:t>
      </w:r>
      <w:r w:rsidR="00D6008F">
        <w:t xml:space="preserve">PR a </w:t>
      </w:r>
      <w:proofErr w:type="spellStart"/>
      <w:r w:rsidR="00D6008F">
        <w:t>fundraising</w:t>
      </w:r>
      <w:proofErr w:type="spellEnd"/>
    </w:p>
    <w:p w:rsidR="005758CE" w:rsidRDefault="00855F22" w:rsidP="005758CE">
      <w:pPr>
        <w:jc w:val="both"/>
      </w:pPr>
      <w:hyperlink r:id="rId12" w:history="1">
        <w:r w:rsidR="005758CE" w:rsidRPr="00AD468D">
          <w:rPr>
            <w:rStyle w:val="Hypertextovodkaz"/>
          </w:rPr>
          <w:t>mariana.ambrozova@napocatku.cz</w:t>
        </w:r>
      </w:hyperlink>
      <w:r w:rsidR="005758CE">
        <w:t>, tel: 725 427</w:t>
      </w:r>
      <w:r w:rsidR="00C40059">
        <w:t> </w:t>
      </w:r>
      <w:r w:rsidR="005758CE">
        <w:t>350</w:t>
      </w:r>
    </w:p>
    <w:p w:rsidR="00C40059" w:rsidRDefault="00C40059" w:rsidP="005758CE">
      <w:pPr>
        <w:jc w:val="both"/>
      </w:pPr>
    </w:p>
    <w:p w:rsidR="00C40059" w:rsidRPr="00C40059" w:rsidRDefault="00C40059" w:rsidP="005758CE">
      <w:pPr>
        <w:jc w:val="both"/>
        <w:rPr>
          <w:b/>
        </w:rPr>
      </w:pPr>
      <w:r w:rsidRPr="00C40059">
        <w:rPr>
          <w:b/>
        </w:rPr>
        <w:t>Odkazy:</w:t>
      </w:r>
    </w:p>
    <w:p w:rsidR="00C40059" w:rsidRDefault="0060113C" w:rsidP="005758CE">
      <w:pPr>
        <w:jc w:val="both"/>
      </w:pPr>
      <w:hyperlink r:id="rId13" w:history="1">
        <w:r w:rsidRPr="00912389">
          <w:rPr>
            <w:rStyle w:val="Hypertextovodkaz"/>
          </w:rPr>
          <w:t>www.neziskovkaroku.cz</w:t>
        </w:r>
      </w:hyperlink>
    </w:p>
    <w:p w:rsidR="0060113C" w:rsidRDefault="0060113C" w:rsidP="005758CE">
      <w:pPr>
        <w:jc w:val="both"/>
      </w:pPr>
      <w:r>
        <w:t>www.napocatku.cz</w:t>
      </w:r>
    </w:p>
    <w:sectPr w:rsidR="0060113C" w:rsidSect="00EF6CCE">
      <w:footerReference w:type="default" r:id="rId14"/>
      <w:pgSz w:w="11906" w:h="16838"/>
      <w:pgMar w:top="1134" w:right="1418" w:bottom="1134" w:left="1418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4D" w:rsidRDefault="00DE624D" w:rsidP="00C64E7C">
      <w:r>
        <w:separator/>
      </w:r>
    </w:p>
  </w:endnote>
  <w:endnote w:type="continuationSeparator" w:id="0">
    <w:p w:rsidR="00DE624D" w:rsidRDefault="00DE624D" w:rsidP="00C6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6E2" w:rsidRPr="00542723" w:rsidRDefault="00A076E2" w:rsidP="00BE4C73">
    <w:pPr>
      <w:ind w:left="-142"/>
      <w:jc w:val="right"/>
      <w:rPr>
        <w:rFonts w:ascii="Arial" w:hAnsi="Arial" w:cs="Arial"/>
        <w:bCs/>
        <w:iCs/>
        <w:color w:val="E36C0A"/>
        <w:sz w:val="22"/>
        <w:szCs w:val="22"/>
      </w:rPr>
    </w:pPr>
    <w:r>
      <w:rPr>
        <w:rFonts w:ascii="Arial" w:hAnsi="Arial" w:cs="Arial"/>
        <w:bCs/>
        <w:iCs/>
        <w:color w:val="E36C0A"/>
        <w:sz w:val="22"/>
        <w:szCs w:val="22"/>
      </w:rPr>
      <w:t>______________________________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________________________</w:t>
    </w:r>
    <w:r>
      <w:rPr>
        <w:rFonts w:ascii="Arial" w:hAnsi="Arial" w:cs="Arial"/>
        <w:bCs/>
        <w:iCs/>
        <w:color w:val="E36C0A"/>
        <w:sz w:val="22"/>
        <w:szCs w:val="22"/>
      </w:rPr>
      <w:t>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__________</w:t>
    </w:r>
    <w:r>
      <w:rPr>
        <w:rFonts w:ascii="Arial" w:hAnsi="Arial" w:cs="Arial"/>
        <w:bCs/>
        <w:iCs/>
        <w:color w:val="E36C0A"/>
        <w:sz w:val="22"/>
        <w:szCs w:val="22"/>
      </w:rPr>
      <w:t>_____</w:t>
    </w:r>
    <w:r w:rsidRPr="00542723">
      <w:rPr>
        <w:rFonts w:ascii="Arial" w:hAnsi="Arial" w:cs="Arial"/>
        <w:bCs/>
        <w:iCs/>
        <w:color w:val="E36C0A"/>
        <w:sz w:val="22"/>
        <w:szCs w:val="22"/>
      </w:rPr>
      <w:t>__</w:t>
    </w:r>
  </w:p>
  <w:p w:rsidR="00A076E2" w:rsidRPr="00BE4C73" w:rsidRDefault="00A076E2">
    <w:pPr>
      <w:rPr>
        <w:rFonts w:ascii="Constantia" w:hAnsi="Constantia"/>
        <w:sz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076E2" w:rsidRPr="0008261A" w:rsidTr="00704579">
      <w:tc>
        <w:tcPr>
          <w:tcW w:w="3070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 w:rsidRPr="00E735A6">
            <w:rPr>
              <w:rFonts w:ascii="Constantia" w:hAnsi="Constantia" w:cs="Palatino Linotype"/>
              <w:b/>
              <w:sz w:val="20"/>
              <w:szCs w:val="22"/>
            </w:rPr>
            <w:t>IČ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 w:rsidRPr="00E735A6">
            <w:rPr>
              <w:rFonts w:ascii="Constantia" w:hAnsi="Constantia" w:cs="Palatino Linotype"/>
              <w:b/>
              <w:sz w:val="20"/>
              <w:szCs w:val="22"/>
            </w:rPr>
            <w:t>bankovní spojení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b/>
              <w:sz w:val="20"/>
              <w:szCs w:val="22"/>
            </w:rPr>
          </w:pPr>
          <w:r>
            <w:rPr>
              <w:rFonts w:ascii="Constantia" w:hAnsi="Constantia" w:cs="Palatino Linotype"/>
              <w:b/>
              <w:sz w:val="20"/>
              <w:szCs w:val="22"/>
            </w:rPr>
            <w:t>veřejná sbírka</w:t>
          </w:r>
        </w:p>
      </w:tc>
    </w:tr>
    <w:tr w:rsidR="00A076E2" w:rsidRPr="003F002B" w:rsidTr="00704579">
      <w:tc>
        <w:tcPr>
          <w:tcW w:w="3070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E735A6">
            <w:rPr>
              <w:rFonts w:ascii="Constantia" w:hAnsi="Constantia" w:cs="Palatino Linotype"/>
              <w:sz w:val="20"/>
              <w:szCs w:val="22"/>
            </w:rPr>
            <w:t>60554665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E735A6">
            <w:rPr>
              <w:rFonts w:ascii="Constantia" w:hAnsi="Constantia" w:cs="Palatino Linotype"/>
              <w:sz w:val="20"/>
              <w:szCs w:val="22"/>
            </w:rPr>
            <w:t>Česká spořitelna, a.</w:t>
          </w:r>
          <w:r>
            <w:rPr>
              <w:rFonts w:ascii="Constantia" w:hAnsi="Constantia" w:cs="Palatino Linotype"/>
              <w:sz w:val="20"/>
              <w:szCs w:val="22"/>
            </w:rPr>
            <w:t xml:space="preserve"> </w:t>
          </w:r>
          <w:r w:rsidRPr="00E735A6">
            <w:rPr>
              <w:rFonts w:ascii="Constantia" w:hAnsi="Constantia" w:cs="Palatino Linotype"/>
              <w:sz w:val="20"/>
              <w:szCs w:val="22"/>
            </w:rPr>
            <w:t>s. Brno</w:t>
          </w:r>
        </w:p>
      </w:tc>
      <w:tc>
        <w:tcPr>
          <w:tcW w:w="3071" w:type="dxa"/>
        </w:tcPr>
        <w:p w:rsidR="00A076E2" w:rsidRPr="00E735A6" w:rsidRDefault="00A076E2" w:rsidP="00EF6CCE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>
            <w:rPr>
              <w:rFonts w:ascii="Constantia" w:hAnsi="Constantia" w:cs="Palatino Linotype"/>
              <w:sz w:val="20"/>
              <w:szCs w:val="22"/>
            </w:rPr>
            <w:t>ČSOB, a. s. Brno</w:t>
          </w:r>
        </w:p>
      </w:tc>
    </w:tr>
    <w:tr w:rsidR="00A076E2" w:rsidRPr="003F002B" w:rsidTr="002B6DB1">
      <w:trPr>
        <w:trHeight w:val="80"/>
      </w:trPr>
      <w:tc>
        <w:tcPr>
          <w:tcW w:w="3070" w:type="dxa"/>
        </w:tcPr>
        <w:p w:rsidR="00A076E2" w:rsidRPr="00704579" w:rsidRDefault="00A076E2" w:rsidP="00A076E2">
          <w:pPr>
            <w:jc w:val="center"/>
            <w:rPr>
              <w:rFonts w:ascii="Constantia" w:hAnsi="Constantia" w:cs="Palatino Linotype"/>
              <w:sz w:val="8"/>
              <w:szCs w:val="22"/>
            </w:rPr>
          </w:pPr>
        </w:p>
      </w:tc>
      <w:tc>
        <w:tcPr>
          <w:tcW w:w="3071" w:type="dxa"/>
        </w:tcPr>
        <w:p w:rsidR="00A076E2" w:rsidRPr="00704579" w:rsidRDefault="00A076E2" w:rsidP="002B6DB1">
          <w:pPr>
            <w:rPr>
              <w:rFonts w:ascii="Constantia" w:hAnsi="Constantia" w:cs="Palatino Linotype"/>
              <w:b/>
              <w:sz w:val="8"/>
              <w:szCs w:val="22"/>
            </w:rPr>
          </w:pPr>
        </w:p>
      </w:tc>
      <w:tc>
        <w:tcPr>
          <w:tcW w:w="3071" w:type="dxa"/>
        </w:tcPr>
        <w:p w:rsidR="00A076E2" w:rsidRPr="00704579" w:rsidRDefault="00A076E2" w:rsidP="00A076E2">
          <w:pPr>
            <w:jc w:val="center"/>
            <w:rPr>
              <w:rFonts w:ascii="Constantia" w:hAnsi="Constantia" w:cs="Palatino Linotype"/>
              <w:sz w:val="8"/>
              <w:szCs w:val="22"/>
            </w:rPr>
          </w:pPr>
        </w:p>
      </w:tc>
    </w:tr>
    <w:tr w:rsidR="00A076E2" w:rsidRPr="003F002B" w:rsidTr="00704579">
      <w:tc>
        <w:tcPr>
          <w:tcW w:w="3070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704579">
            <w:rPr>
              <w:rFonts w:ascii="Constantia" w:hAnsi="Constantia" w:cs="Palatino Linotype"/>
              <w:sz w:val="20"/>
              <w:szCs w:val="22"/>
            </w:rPr>
            <w:t>číslo účtu</w:t>
          </w:r>
          <w:r>
            <w:rPr>
              <w:rFonts w:ascii="Constantia" w:hAnsi="Constantia" w:cs="Palatino Linotype"/>
              <w:b/>
              <w:sz w:val="20"/>
              <w:szCs w:val="22"/>
            </w:rPr>
            <w:t xml:space="preserve"> </w:t>
          </w:r>
          <w:r w:rsidRPr="00E735A6">
            <w:rPr>
              <w:rFonts w:ascii="Constantia" w:hAnsi="Constantia" w:cs="Palatino Linotype"/>
              <w:sz w:val="20"/>
              <w:szCs w:val="22"/>
            </w:rPr>
            <w:t xml:space="preserve"> 1344243369/0800</w:t>
          </w:r>
        </w:p>
      </w:tc>
      <w:tc>
        <w:tcPr>
          <w:tcW w:w="3071" w:type="dxa"/>
        </w:tcPr>
        <w:p w:rsidR="00A076E2" w:rsidRPr="00E735A6" w:rsidRDefault="00A076E2" w:rsidP="00A076E2">
          <w:pPr>
            <w:jc w:val="center"/>
            <w:rPr>
              <w:rFonts w:ascii="Constantia" w:hAnsi="Constantia" w:cs="Palatino Linotype"/>
              <w:sz w:val="20"/>
              <w:szCs w:val="22"/>
            </w:rPr>
          </w:pPr>
          <w:r w:rsidRPr="00704579">
            <w:rPr>
              <w:rFonts w:ascii="Constantia" w:hAnsi="Constantia" w:cs="Palatino Linotype"/>
              <w:sz w:val="20"/>
              <w:szCs w:val="22"/>
            </w:rPr>
            <w:t>číslo účtu</w:t>
          </w:r>
          <w:r>
            <w:rPr>
              <w:rFonts w:ascii="Constantia" w:hAnsi="Constantia" w:cs="Palatino Linotype"/>
              <w:b/>
              <w:sz w:val="20"/>
              <w:szCs w:val="22"/>
            </w:rPr>
            <w:t xml:space="preserve"> </w:t>
          </w:r>
          <w:r>
            <w:rPr>
              <w:rFonts w:ascii="Constantia" w:hAnsi="Constantia" w:cs="Palatino Linotype"/>
              <w:sz w:val="20"/>
              <w:szCs w:val="22"/>
            </w:rPr>
            <w:t xml:space="preserve"> 3657883/0300</w:t>
          </w:r>
        </w:p>
      </w:tc>
    </w:tr>
  </w:tbl>
  <w:p w:rsidR="00A076E2" w:rsidRDefault="00A076E2" w:rsidP="00E73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4D" w:rsidRDefault="00DE624D" w:rsidP="00C64E7C">
      <w:r>
        <w:separator/>
      </w:r>
    </w:p>
  </w:footnote>
  <w:footnote w:type="continuationSeparator" w:id="0">
    <w:p w:rsidR="00DE624D" w:rsidRDefault="00DE624D" w:rsidP="00C6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144"/>
    <w:multiLevelType w:val="hybridMultilevel"/>
    <w:tmpl w:val="936E5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411D"/>
    <w:multiLevelType w:val="hybridMultilevel"/>
    <w:tmpl w:val="09B0E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20E0"/>
    <w:multiLevelType w:val="hybridMultilevel"/>
    <w:tmpl w:val="890C1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87174"/>
    <w:multiLevelType w:val="hybridMultilevel"/>
    <w:tmpl w:val="F26CD7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42C2"/>
    <w:multiLevelType w:val="hybridMultilevel"/>
    <w:tmpl w:val="8356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99"/>
    <w:rsid w:val="00020C5D"/>
    <w:rsid w:val="00060ADC"/>
    <w:rsid w:val="00084878"/>
    <w:rsid w:val="000A5E94"/>
    <w:rsid w:val="000D37E3"/>
    <w:rsid w:val="000E639B"/>
    <w:rsid w:val="00103D85"/>
    <w:rsid w:val="00150245"/>
    <w:rsid w:val="0015085F"/>
    <w:rsid w:val="00181A1F"/>
    <w:rsid w:val="0018645D"/>
    <w:rsid w:val="00197C80"/>
    <w:rsid w:val="001B5910"/>
    <w:rsid w:val="001F05FE"/>
    <w:rsid w:val="001F5F6C"/>
    <w:rsid w:val="00204DAD"/>
    <w:rsid w:val="00221576"/>
    <w:rsid w:val="00226353"/>
    <w:rsid w:val="00226F0B"/>
    <w:rsid w:val="002359A0"/>
    <w:rsid w:val="00266CBD"/>
    <w:rsid w:val="00270E1F"/>
    <w:rsid w:val="00283A84"/>
    <w:rsid w:val="002A1E1C"/>
    <w:rsid w:val="002B6DB1"/>
    <w:rsid w:val="002E063B"/>
    <w:rsid w:val="002E49E0"/>
    <w:rsid w:val="003059DB"/>
    <w:rsid w:val="00315E62"/>
    <w:rsid w:val="00343D70"/>
    <w:rsid w:val="0034690E"/>
    <w:rsid w:val="00346A84"/>
    <w:rsid w:val="00360F5F"/>
    <w:rsid w:val="00364F26"/>
    <w:rsid w:val="003748EE"/>
    <w:rsid w:val="003902BA"/>
    <w:rsid w:val="0039342A"/>
    <w:rsid w:val="00394B41"/>
    <w:rsid w:val="003A0081"/>
    <w:rsid w:val="003A58B1"/>
    <w:rsid w:val="003C5D15"/>
    <w:rsid w:val="003C6096"/>
    <w:rsid w:val="0042248C"/>
    <w:rsid w:val="00462528"/>
    <w:rsid w:val="00471D39"/>
    <w:rsid w:val="00482F70"/>
    <w:rsid w:val="0048703B"/>
    <w:rsid w:val="004C2732"/>
    <w:rsid w:val="004F2ECB"/>
    <w:rsid w:val="00500E70"/>
    <w:rsid w:val="0054452B"/>
    <w:rsid w:val="0055039C"/>
    <w:rsid w:val="005758CE"/>
    <w:rsid w:val="005A20C9"/>
    <w:rsid w:val="005C08A1"/>
    <w:rsid w:val="005C47C4"/>
    <w:rsid w:val="005C6696"/>
    <w:rsid w:val="005C6949"/>
    <w:rsid w:val="005D20C6"/>
    <w:rsid w:val="005E5425"/>
    <w:rsid w:val="005F069E"/>
    <w:rsid w:val="005F20C0"/>
    <w:rsid w:val="005F4575"/>
    <w:rsid w:val="0060113C"/>
    <w:rsid w:val="0060623D"/>
    <w:rsid w:val="00607827"/>
    <w:rsid w:val="00625222"/>
    <w:rsid w:val="00645699"/>
    <w:rsid w:val="00683D9E"/>
    <w:rsid w:val="00684BE9"/>
    <w:rsid w:val="006D1ACB"/>
    <w:rsid w:val="006E1628"/>
    <w:rsid w:val="00704579"/>
    <w:rsid w:val="00721776"/>
    <w:rsid w:val="007323D2"/>
    <w:rsid w:val="00756AE7"/>
    <w:rsid w:val="00765658"/>
    <w:rsid w:val="0078738B"/>
    <w:rsid w:val="007C0379"/>
    <w:rsid w:val="007C4FBF"/>
    <w:rsid w:val="007E60F3"/>
    <w:rsid w:val="007F3831"/>
    <w:rsid w:val="00805B1E"/>
    <w:rsid w:val="00823270"/>
    <w:rsid w:val="00825BD4"/>
    <w:rsid w:val="00827EF7"/>
    <w:rsid w:val="00835409"/>
    <w:rsid w:val="008410E8"/>
    <w:rsid w:val="00851490"/>
    <w:rsid w:val="00855F22"/>
    <w:rsid w:val="00881A71"/>
    <w:rsid w:val="008A2758"/>
    <w:rsid w:val="008C5EC4"/>
    <w:rsid w:val="008D451D"/>
    <w:rsid w:val="00910A1E"/>
    <w:rsid w:val="00923B6A"/>
    <w:rsid w:val="00932133"/>
    <w:rsid w:val="00935965"/>
    <w:rsid w:val="00973ABF"/>
    <w:rsid w:val="00977FA9"/>
    <w:rsid w:val="00981596"/>
    <w:rsid w:val="0099254F"/>
    <w:rsid w:val="009943F8"/>
    <w:rsid w:val="00994640"/>
    <w:rsid w:val="009A328B"/>
    <w:rsid w:val="009B75B4"/>
    <w:rsid w:val="009C0BFD"/>
    <w:rsid w:val="009C471D"/>
    <w:rsid w:val="009C51FF"/>
    <w:rsid w:val="009D51B0"/>
    <w:rsid w:val="009D6E42"/>
    <w:rsid w:val="009F25F8"/>
    <w:rsid w:val="00A076E2"/>
    <w:rsid w:val="00A16E8F"/>
    <w:rsid w:val="00A17EFA"/>
    <w:rsid w:val="00A3258C"/>
    <w:rsid w:val="00A326E6"/>
    <w:rsid w:val="00A33044"/>
    <w:rsid w:val="00A5164C"/>
    <w:rsid w:val="00A948E4"/>
    <w:rsid w:val="00AC6C36"/>
    <w:rsid w:val="00AE6024"/>
    <w:rsid w:val="00B063F3"/>
    <w:rsid w:val="00B21211"/>
    <w:rsid w:val="00B424C2"/>
    <w:rsid w:val="00B55995"/>
    <w:rsid w:val="00B61D21"/>
    <w:rsid w:val="00B77C4E"/>
    <w:rsid w:val="00B82A0E"/>
    <w:rsid w:val="00B9329F"/>
    <w:rsid w:val="00BB6633"/>
    <w:rsid w:val="00BC6068"/>
    <w:rsid w:val="00BE4287"/>
    <w:rsid w:val="00BE4C73"/>
    <w:rsid w:val="00BE5FF1"/>
    <w:rsid w:val="00C102E1"/>
    <w:rsid w:val="00C1290D"/>
    <w:rsid w:val="00C22F46"/>
    <w:rsid w:val="00C239CA"/>
    <w:rsid w:val="00C2671E"/>
    <w:rsid w:val="00C40059"/>
    <w:rsid w:val="00C50334"/>
    <w:rsid w:val="00C64E7C"/>
    <w:rsid w:val="00C76267"/>
    <w:rsid w:val="00C836E8"/>
    <w:rsid w:val="00CE1EAC"/>
    <w:rsid w:val="00D344DE"/>
    <w:rsid w:val="00D42FB7"/>
    <w:rsid w:val="00D53E9B"/>
    <w:rsid w:val="00D54029"/>
    <w:rsid w:val="00D6008F"/>
    <w:rsid w:val="00D65AE6"/>
    <w:rsid w:val="00D76F3F"/>
    <w:rsid w:val="00D9007B"/>
    <w:rsid w:val="00DB0160"/>
    <w:rsid w:val="00DB0901"/>
    <w:rsid w:val="00DC4D42"/>
    <w:rsid w:val="00DC6635"/>
    <w:rsid w:val="00DD63A3"/>
    <w:rsid w:val="00DE624D"/>
    <w:rsid w:val="00E14DBE"/>
    <w:rsid w:val="00E211A0"/>
    <w:rsid w:val="00E24E9F"/>
    <w:rsid w:val="00E60F78"/>
    <w:rsid w:val="00E66ADD"/>
    <w:rsid w:val="00E735A6"/>
    <w:rsid w:val="00EB5883"/>
    <w:rsid w:val="00EC2451"/>
    <w:rsid w:val="00EC6662"/>
    <w:rsid w:val="00EF6CCE"/>
    <w:rsid w:val="00F15A69"/>
    <w:rsid w:val="00F325CF"/>
    <w:rsid w:val="00F32874"/>
    <w:rsid w:val="00F344EA"/>
    <w:rsid w:val="00F55D6D"/>
    <w:rsid w:val="00F71158"/>
    <w:rsid w:val="00F7371C"/>
    <w:rsid w:val="00FA0AA4"/>
    <w:rsid w:val="00FA575A"/>
    <w:rsid w:val="00FB40C9"/>
    <w:rsid w:val="00FC3E18"/>
    <w:rsid w:val="00FE11C9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4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5699"/>
    <w:rPr>
      <w:color w:val="0000FF"/>
      <w:u w:val="single"/>
    </w:rPr>
  </w:style>
  <w:style w:type="table" w:styleId="Mkatabulky">
    <w:name w:val="Table Grid"/>
    <w:basedOn w:val="Normlntabulka"/>
    <w:uiPriority w:val="59"/>
    <w:rsid w:val="0064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94B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6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06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069E"/>
    <w:rPr>
      <w:vertAlign w:val="superscript"/>
    </w:rPr>
  </w:style>
  <w:style w:type="character" w:styleId="Siln">
    <w:name w:val="Strong"/>
    <w:basedOn w:val="Standardnpsmoodstavce"/>
    <w:uiPriority w:val="22"/>
    <w:qFormat/>
    <w:rsid w:val="009D5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5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5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4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5699"/>
    <w:rPr>
      <w:color w:val="0000FF"/>
      <w:u w:val="single"/>
    </w:rPr>
  </w:style>
  <w:style w:type="table" w:styleId="Mkatabulky">
    <w:name w:val="Table Grid"/>
    <w:basedOn w:val="Normlntabulka"/>
    <w:uiPriority w:val="59"/>
    <w:rsid w:val="00645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4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E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66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394B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3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069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06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069E"/>
    <w:rPr>
      <w:vertAlign w:val="superscript"/>
    </w:rPr>
  </w:style>
  <w:style w:type="character" w:styleId="Siln">
    <w:name w:val="Strong"/>
    <w:basedOn w:val="Standardnpsmoodstavce"/>
    <w:uiPriority w:val="22"/>
    <w:qFormat/>
    <w:rsid w:val="009D5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ziskovkaroku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ana.ambrozova@napocatku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ocatku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pocatku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0CFB-19FA-463F-ACC1-1E4D5728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Janolinecka</dc:creator>
  <cp:lastModifiedBy>Mariana Ambrožová</cp:lastModifiedBy>
  <cp:revision>5</cp:revision>
  <cp:lastPrinted>2016-03-18T09:04:00Z</cp:lastPrinted>
  <dcterms:created xsi:type="dcterms:W3CDTF">2019-11-05T14:28:00Z</dcterms:created>
  <dcterms:modified xsi:type="dcterms:W3CDTF">2019-11-05T15:10:00Z</dcterms:modified>
</cp:coreProperties>
</file>